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CC7DC" w14:textId="7607E1D7" w:rsidR="005C5E99" w:rsidRPr="001C4E46" w:rsidRDefault="00344BF7" w:rsidP="005C5E99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  <w:t>Supplementary Material</w:t>
      </w:r>
      <w:r w:rsidR="00CA28AE" w:rsidRPr="001C4E46"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  <w:t xml:space="preserve"> 2</w:t>
      </w:r>
    </w:p>
    <w:p w14:paraId="0A7B4F49" w14:textId="713E9666" w:rsidR="005C5E99" w:rsidRPr="001C4E46" w:rsidRDefault="005C5E99" w:rsidP="005C5E99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  <w:t>Multiplex PCR</w:t>
      </w:r>
    </w:p>
    <w:p w14:paraId="1FC92812" w14:textId="4F8648FF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  <w:shd w:val="clear" w:color="auto" w:fill="FFFFFF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The multiplex PCR protocol of van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Asten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/>
        </w:rPr>
        <w:t>et al</w:t>
      </w:r>
      <w:r w:rsidRPr="001C4E46">
        <w:rPr>
          <w:rStyle w:val="None"/>
          <w:rFonts w:ascii="Times New Roman" w:eastAsia="Calibri" w:hAnsi="Times New Roman" w:cs="Times New Roman"/>
        </w:rPr>
        <w:t xml:space="preserve">. </w:t>
      </w:r>
      <w:r w:rsidRPr="001C4E46">
        <w:rPr>
          <w:rStyle w:val="None"/>
          <w:rFonts w:ascii="Times New Roman" w:eastAsia="Calibri" w:hAnsi="Times New Roman" w:cs="Times New Roman"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 &lt;EndNote&gt;&lt;Cite&gt;&lt;Author&gt;van Asten&lt;/Author&gt;&lt;Year&gt;2009&lt;/Year&gt;&lt;RecNum&gt;15&lt;/RecNum&gt;&lt;DisplayText&gt;[1]&lt;/DisplayText&gt;&lt;record&gt;&lt;rec-number&gt;15&lt;/rec-number&gt;&lt;foreign-keys&gt;&lt;key app="EN" db-id="szdp2xstjz2e04ers5wxfrs2frp50ewfasfx" timestamp="1538409237"&gt;15&lt;/key&gt;&lt;/foreign-keys&gt;&lt;ref-type name="Journal Article"&gt;17&lt;/ref-type&gt;&lt;contributors&gt;&lt;authors&gt;&lt;author&gt;van Asten, Alphons J. A. M.&lt;/author&gt;&lt;author&gt;van der Wiel, Cornelia W.&lt;/author&gt;&lt;author&gt;Nikolaou, Georgios&lt;/author&gt;&lt;author&gt;Houwers, Dirk J.&lt;/author&gt;&lt;author&gt;Gröne, Andrea&lt;/author&gt;&lt;/authors&gt;&lt;/contributors&gt;&lt;titles&gt;&lt;title&gt;A multiplex PCR for toxin typing of Clostridium perfringens isolates&lt;/title&gt;&lt;secondary-title&gt;Veterinary Microbiology&lt;/secondary-title&gt;&lt;/titles&gt;&lt;periodical&gt;&lt;full-title&gt;Veterinary Microbiology&lt;/full-title&gt;&lt;/periodical&gt;&lt;pages&gt;411-412&lt;/pages&gt;&lt;volume&gt;136&lt;/volume&gt;&lt;number&gt;3&lt;/number&gt;&lt;keywords&gt;&lt;keyword&gt;Multiplex PCR&lt;/keyword&gt;&lt;keyword&gt;Toxin type&lt;/keyword&gt;&lt;keyword&gt;Beta2 toxin&lt;/keyword&gt;&lt;/keywords&gt;&lt;dates&gt;&lt;year&gt;2009&lt;/year&gt;&lt;pub-dates&gt;&lt;date&gt;2009/05/12/&lt;/date&gt;&lt;/pub-dates&gt;&lt;/dates&gt;&lt;isbn&gt;0378-1135&lt;/isbn&gt;&lt;urls&gt;&lt;related-urls&gt;&lt;url&gt;http://www.sciencedirect.com/science/article/pii/S037811350800552X&lt;/url&gt;&lt;/related-urls&gt;&lt;/urls&gt;&lt;electronic-resource-num&gt;https://doi.org/10.1016/j.vetmic.2008.11.024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noProof/>
        </w:rPr>
        <w:t>[1]</w:t>
      </w:r>
      <w:r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  <w:t xml:space="preserve"> was used to screen for the presence of </w:t>
      </w:r>
      <w:bookmarkStart w:id="0" w:name="_Hlk525740061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cpb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iA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etx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cpe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and </w:t>
      </w:r>
      <w:r w:rsidRPr="001C4E46">
        <w:rPr>
          <w:rStyle w:val="None"/>
          <w:rFonts w:ascii="Times New Roman" w:eastAsia="Calibri" w:hAnsi="Times New Roman" w:cs="Times New Roman"/>
          <w:i/>
          <w:iCs/>
        </w:rPr>
        <w:t>cpb2</w:t>
      </w:r>
      <w:bookmarkEnd w:id="0"/>
      <w:r w:rsidRPr="001C4E46">
        <w:rPr>
          <w:rStyle w:val="None"/>
          <w:rFonts w:ascii="Times New Roman" w:eastAsia="Calibri" w:hAnsi="Times New Roman" w:cs="Times New Roman"/>
        </w:rPr>
        <w:t xml:space="preserve">. Each 50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reaction contained 1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DNA template (prepared by suspending colonies in distilled water, heating at 95 </w:t>
      </w:r>
      <w:r w:rsidRPr="001C4E46">
        <w:rPr>
          <w:rStyle w:val="None"/>
          <w:rFonts w:ascii="Times New Roman" w:eastAsia="Calibri" w:hAnsi="Times New Roman" w:cs="Times New Roman"/>
          <w:lang w:val="it-IT"/>
        </w:rPr>
        <w:t>°</w:t>
      </w:r>
      <w:r w:rsidRPr="001C4E46">
        <w:rPr>
          <w:rStyle w:val="None"/>
          <w:rFonts w:ascii="Times New Roman" w:eastAsia="Calibri" w:hAnsi="Times New Roman" w:cs="Times New Roman"/>
        </w:rPr>
        <w:t>C for 10 minutes and centrifuging at 17,000 xg</w:t>
      </w:r>
      <w:r w:rsidRPr="001C4E46">
        <w:rPr>
          <w:rStyle w:val="None"/>
          <w:rFonts w:ascii="Times New Roman" w:eastAsia="Calibri" w:hAnsi="Times New Roman" w:cs="Times New Roman"/>
          <w:vertAlign w:val="superscript"/>
        </w:rPr>
        <w:t>-1</w:t>
      </w:r>
      <w:r w:rsidRPr="001C4E46">
        <w:rPr>
          <w:rStyle w:val="None"/>
          <w:rFonts w:ascii="Times New Roman" w:eastAsia="Calibri" w:hAnsi="Times New Roman" w:cs="Times New Roman"/>
        </w:rPr>
        <w:t xml:space="preserve">), 7.5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10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nM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primer mix (Table 2), 10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5x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Taq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Master Mix (New England Biolabs), 31.5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consisted of initial denaturation at 94 °C for 1 minute followed by 34 cycles of denaturation at 94 °C for 20 seconds, annealing at 53 °C for 1 minute, extension at 68 °C for 1 minute, followed by final extension at 68 °C for 1 minute. </w:t>
      </w:r>
    </w:p>
    <w:p w14:paraId="03130B8A" w14:textId="77777777" w:rsidR="00E36C7C" w:rsidRPr="001C4E46" w:rsidRDefault="00E36C7C" w:rsidP="00E36C7C">
      <w:pPr>
        <w:pStyle w:val="Caption"/>
        <w:spacing w:after="200" w:line="480" w:lineRule="auto"/>
        <w:rPr>
          <w:rStyle w:val="None"/>
          <w:rFonts w:eastAsia="Calibri" w:cs="Times New Roman"/>
          <w:bCs w:val="0"/>
          <w:i/>
          <w:iCs/>
          <w:caps w:val="0"/>
          <w:sz w:val="22"/>
          <w:szCs w:val="22"/>
        </w:rPr>
      </w:pP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  <w:lang w:val="en-US"/>
        </w:rPr>
        <w:t>Table</w:t>
      </w: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r w:rsidRPr="001C4E46">
        <w:rPr>
          <w:rStyle w:val="None"/>
          <w:rFonts w:eastAsia="Calibri" w:cs="Times New Roman"/>
          <w:sz w:val="22"/>
          <w:shd w:val="clear" w:color="auto" w:fill="FFFFFF"/>
        </w:rPr>
        <w:t xml:space="preserve">2. </w:t>
      </w:r>
      <w:r w:rsidRPr="001C4E46">
        <w:rPr>
          <w:rStyle w:val="None"/>
          <w:rFonts w:eastAsia="Calibri" w:cs="Times New Roman"/>
          <w:i/>
          <w:sz w:val="22"/>
          <w:shd w:val="clear" w:color="auto" w:fill="FFFFFF"/>
        </w:rPr>
        <w:t xml:space="preserve">C. </w:t>
      </w:r>
      <w:r w:rsidRPr="001C4E46">
        <w:rPr>
          <w:rStyle w:val="None"/>
          <w:rFonts w:eastAsia="Calibri" w:cs="Times New Roman"/>
          <w:i/>
          <w:caps w:val="0"/>
          <w:sz w:val="22"/>
          <w:shd w:val="clear" w:color="auto" w:fill="FFFFFF"/>
        </w:rPr>
        <w:t>perfringens</w:t>
      </w: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toxin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gene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multiplex PCR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primers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.  </w:t>
      </w:r>
    </w:p>
    <w:tbl>
      <w:tblPr>
        <w:tblStyle w:val="TableGrid"/>
        <w:tblW w:w="7801" w:type="dxa"/>
        <w:jc w:val="center"/>
        <w:tblLayout w:type="fixed"/>
        <w:tblLook w:val="04A0" w:firstRow="1" w:lastRow="0" w:firstColumn="1" w:lastColumn="0" w:noHBand="0" w:noVBand="1"/>
      </w:tblPr>
      <w:tblGrid>
        <w:gridCol w:w="1972"/>
        <w:gridCol w:w="846"/>
        <w:gridCol w:w="3773"/>
        <w:gridCol w:w="1210"/>
      </w:tblGrid>
      <w:tr w:rsidR="00E36C7C" w:rsidRPr="001C4E46" w14:paraId="0570C308" w14:textId="77777777" w:rsidTr="00DA7664">
        <w:trPr>
          <w:trHeight w:val="733"/>
          <w:jc w:val="center"/>
        </w:trPr>
        <w:tc>
          <w:tcPr>
            <w:tcW w:w="1972" w:type="dxa"/>
            <w:vAlign w:val="center"/>
          </w:tcPr>
          <w:p w14:paraId="0CAE6E2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Primer</w:t>
            </w:r>
          </w:p>
        </w:tc>
        <w:tc>
          <w:tcPr>
            <w:tcW w:w="846" w:type="dxa"/>
            <w:vAlign w:val="center"/>
          </w:tcPr>
          <w:p w14:paraId="1AC55AF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Gene</w:t>
            </w:r>
          </w:p>
        </w:tc>
        <w:tc>
          <w:tcPr>
            <w:tcW w:w="3773" w:type="dxa"/>
            <w:vAlign w:val="center"/>
          </w:tcPr>
          <w:p w14:paraId="203E8890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Sequence (5’-3’)</w:t>
            </w:r>
          </w:p>
        </w:tc>
        <w:tc>
          <w:tcPr>
            <w:tcW w:w="1210" w:type="dxa"/>
            <w:vAlign w:val="center"/>
          </w:tcPr>
          <w:p w14:paraId="1A09CFA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Product length (bp)</w:t>
            </w:r>
          </w:p>
        </w:tc>
      </w:tr>
      <w:tr w:rsidR="00E36C7C" w:rsidRPr="001C4E46" w14:paraId="3D658B40" w14:textId="77777777" w:rsidTr="00DA7664">
        <w:trPr>
          <w:trHeight w:val="288"/>
          <w:jc w:val="center"/>
        </w:trPr>
        <w:tc>
          <w:tcPr>
            <w:tcW w:w="1972" w:type="dxa"/>
            <w:vAlign w:val="center"/>
          </w:tcPr>
          <w:p w14:paraId="51F6B4F4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AlphaF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0088C8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cpa</w:t>
            </w:r>
            <w:proofErr w:type="spellEnd"/>
          </w:p>
        </w:tc>
        <w:tc>
          <w:tcPr>
            <w:tcW w:w="3773" w:type="dxa"/>
            <w:vAlign w:val="center"/>
          </w:tcPr>
          <w:p w14:paraId="1A8D1016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GCTAATGTTACTGCCGTTGA</w:t>
            </w:r>
          </w:p>
        </w:tc>
        <w:tc>
          <w:tcPr>
            <w:tcW w:w="1210" w:type="dxa"/>
            <w:vMerge w:val="restart"/>
            <w:vAlign w:val="center"/>
          </w:tcPr>
          <w:p w14:paraId="30AECFC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324</w:t>
            </w:r>
          </w:p>
        </w:tc>
      </w:tr>
      <w:tr w:rsidR="00E36C7C" w:rsidRPr="001C4E46" w14:paraId="52A5E5C1" w14:textId="77777777" w:rsidTr="00DA7664">
        <w:trPr>
          <w:trHeight w:val="285"/>
          <w:jc w:val="center"/>
        </w:trPr>
        <w:tc>
          <w:tcPr>
            <w:tcW w:w="1972" w:type="dxa"/>
            <w:vAlign w:val="center"/>
          </w:tcPr>
          <w:p w14:paraId="7B9BEDC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AlphaR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27FEC803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744BDC5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CCTCTGATACATCGTGTAAG</w:t>
            </w:r>
          </w:p>
        </w:tc>
        <w:tc>
          <w:tcPr>
            <w:tcW w:w="1210" w:type="dxa"/>
            <w:vMerge/>
            <w:vAlign w:val="center"/>
          </w:tcPr>
          <w:p w14:paraId="1D514A8E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4E77AE0A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416BF17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651BE9C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cpb</w:t>
            </w:r>
            <w:proofErr w:type="spellEnd"/>
          </w:p>
        </w:tc>
        <w:tc>
          <w:tcPr>
            <w:tcW w:w="3773" w:type="dxa"/>
            <w:vAlign w:val="center"/>
          </w:tcPr>
          <w:p w14:paraId="7AE3646E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GCGAATATGCTGAATCATCTA</w:t>
            </w:r>
          </w:p>
        </w:tc>
        <w:tc>
          <w:tcPr>
            <w:tcW w:w="1210" w:type="dxa"/>
            <w:vMerge w:val="restart"/>
            <w:vAlign w:val="center"/>
          </w:tcPr>
          <w:p w14:paraId="0090CF9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195</w:t>
            </w:r>
          </w:p>
        </w:tc>
      </w:tr>
      <w:tr w:rsidR="00E36C7C" w:rsidRPr="001C4E46" w14:paraId="6947AD0A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05C9098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5A241027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348C887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GCAGGAACATTAGTATATCTTC</w:t>
            </w:r>
          </w:p>
        </w:tc>
        <w:tc>
          <w:tcPr>
            <w:tcW w:w="1210" w:type="dxa"/>
            <w:vMerge/>
            <w:vAlign w:val="center"/>
          </w:tcPr>
          <w:p w14:paraId="0E5B8D48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7E1FF6D8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DC6471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Beta2F</w:t>
            </w:r>
          </w:p>
        </w:tc>
        <w:tc>
          <w:tcPr>
            <w:tcW w:w="846" w:type="dxa"/>
            <w:vMerge w:val="restart"/>
            <w:vAlign w:val="center"/>
          </w:tcPr>
          <w:p w14:paraId="3AA19A1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cpb2</w:t>
            </w:r>
          </w:p>
        </w:tc>
        <w:tc>
          <w:tcPr>
            <w:tcW w:w="3773" w:type="dxa"/>
            <w:vAlign w:val="center"/>
          </w:tcPr>
          <w:p w14:paraId="64A042E2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AGATTTTAAATATGATCCTAAC</w:t>
            </w:r>
          </w:p>
        </w:tc>
        <w:tc>
          <w:tcPr>
            <w:tcW w:w="1210" w:type="dxa"/>
            <w:vMerge w:val="restart"/>
            <w:vAlign w:val="center"/>
          </w:tcPr>
          <w:p w14:paraId="7332C798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548</w:t>
            </w:r>
          </w:p>
        </w:tc>
      </w:tr>
      <w:tr w:rsidR="00E36C7C" w:rsidRPr="001C4E46" w14:paraId="16E94CFE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2B4DBA9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Beta2R</w:t>
            </w:r>
          </w:p>
        </w:tc>
        <w:tc>
          <w:tcPr>
            <w:tcW w:w="846" w:type="dxa"/>
            <w:vMerge/>
            <w:vAlign w:val="center"/>
          </w:tcPr>
          <w:p w14:paraId="5FFB67DA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4ACBF6D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CCAATACCCTTCACCAAATACTC</w:t>
            </w:r>
          </w:p>
        </w:tc>
        <w:tc>
          <w:tcPr>
            <w:tcW w:w="1210" w:type="dxa"/>
            <w:vMerge/>
            <w:vAlign w:val="center"/>
          </w:tcPr>
          <w:p w14:paraId="0DC9EF2D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0FD2FD05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0F3B763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EnterotoxinF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7733739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cpe</w:t>
            </w:r>
            <w:proofErr w:type="spellEnd"/>
          </w:p>
        </w:tc>
        <w:tc>
          <w:tcPr>
            <w:tcW w:w="3773" w:type="dxa"/>
            <w:vAlign w:val="center"/>
          </w:tcPr>
          <w:p w14:paraId="0BE791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GGAGATGGTTGGATATTAGG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4DD2174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485</w:t>
            </w:r>
          </w:p>
        </w:tc>
      </w:tr>
      <w:tr w:rsidR="00E36C7C" w:rsidRPr="001C4E46" w14:paraId="0CDE7435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2C416B94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EnterotoxinR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64C8E089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095AC476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GGACCAGCAGTTGTAGATA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7A2F8A6D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1515B5A7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4D1CCB6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EpsilonF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64B4FAF3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etx</w:t>
            </w:r>
            <w:proofErr w:type="spellEnd"/>
          </w:p>
        </w:tc>
        <w:tc>
          <w:tcPr>
            <w:tcW w:w="3773" w:type="dxa"/>
            <w:vAlign w:val="center"/>
          </w:tcPr>
          <w:p w14:paraId="0E0C1AC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GCGGTGATATCCATCTATTC</w:t>
            </w:r>
          </w:p>
        </w:tc>
        <w:tc>
          <w:tcPr>
            <w:tcW w:w="1210" w:type="dxa"/>
            <w:vMerge w:val="restart"/>
            <w:vAlign w:val="center"/>
          </w:tcPr>
          <w:p w14:paraId="016B868E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376</w:t>
            </w:r>
          </w:p>
        </w:tc>
      </w:tr>
      <w:tr w:rsidR="00E36C7C" w:rsidRPr="001C4E46" w14:paraId="2638D710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CE686C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EpsilonR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32CCA392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6FABE73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CCACTTACTTGTCCTACTAAC</w:t>
            </w:r>
          </w:p>
        </w:tc>
        <w:tc>
          <w:tcPr>
            <w:tcW w:w="1210" w:type="dxa"/>
            <w:vMerge/>
            <w:vAlign w:val="center"/>
          </w:tcPr>
          <w:p w14:paraId="30D2E8C7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57C3F2AC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D9F403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IotaF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116ED7F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iA</w:t>
            </w:r>
            <w:proofErr w:type="spellEnd"/>
          </w:p>
        </w:tc>
        <w:tc>
          <w:tcPr>
            <w:tcW w:w="3773" w:type="dxa"/>
            <w:vAlign w:val="center"/>
          </w:tcPr>
          <w:p w14:paraId="646101A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ACTACTCTCAGACAAGACAG</w:t>
            </w:r>
          </w:p>
        </w:tc>
        <w:tc>
          <w:tcPr>
            <w:tcW w:w="1210" w:type="dxa"/>
            <w:vMerge w:val="restart"/>
            <w:vAlign w:val="center"/>
          </w:tcPr>
          <w:p w14:paraId="7889C127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272</w:t>
            </w:r>
          </w:p>
        </w:tc>
      </w:tr>
      <w:tr w:rsidR="00E36C7C" w:rsidRPr="001C4E46" w14:paraId="43C950B1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134193E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IotaR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55D45345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4D8B610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CTTTCCTTCTATTACTATACG</w:t>
            </w:r>
          </w:p>
        </w:tc>
        <w:tc>
          <w:tcPr>
            <w:tcW w:w="1210" w:type="dxa"/>
            <w:vMerge/>
            <w:vAlign w:val="center"/>
          </w:tcPr>
          <w:p w14:paraId="7716E12C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D296BF2" w14:textId="77777777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  <w:bCs/>
          <w:iCs/>
          <w:sz w:val="20"/>
        </w:rPr>
      </w:pPr>
    </w:p>
    <w:p w14:paraId="591EEDFE" w14:textId="65FDE57F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  <w:bCs/>
          <w:iCs/>
        </w:rPr>
      </w:pPr>
      <w:r w:rsidRPr="001C4E46">
        <w:rPr>
          <w:rStyle w:val="None"/>
          <w:rFonts w:ascii="Times New Roman" w:eastAsia="Calibri" w:hAnsi="Times New Roman" w:cs="Times New Roman"/>
          <w:bCs/>
          <w:iCs/>
        </w:rPr>
        <w:t>Primer pairs used in the multiplex PCR to target six toxin genes, the oligonucleotide sequence of the primers, and expected product size</w:t>
      </w:r>
      <w:r w:rsidRPr="001C4E46">
        <w:rPr>
          <w:rStyle w:val="None"/>
          <w:rFonts w:ascii="Times New Roman" w:eastAsia="Calibri" w:hAnsi="Times New Roman" w:cs="Times New Roman"/>
          <w:bCs/>
          <w:i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</w:rPr>
        <w:instrText xml:space="preserve"> ADDIN EN.CITE &lt;EndNote&gt;&lt;Cite&gt;&lt;Author&gt;van Asten&lt;/Author&gt;&lt;Year&gt;2009&lt;/Year&gt;&lt;RecNum&gt;15&lt;/RecNum&gt;&lt;DisplayText&gt;[1]&lt;/DisplayText&gt;&lt;record&gt;&lt;rec-number&gt;15&lt;/rec-number&gt;&lt;foreign-keys&gt;&lt;key app="EN" db-id="szdp2xstjz2e04ers5wxfrs2frp50ewfasfx" timestamp="1538409237"&gt;15&lt;/key&gt;&lt;/foreign-keys&gt;&lt;ref-type name="Journal Article"&gt;17&lt;/ref-type&gt;&lt;contributors&gt;&lt;authors&gt;&lt;author&gt;van Asten, Alphons J. A. M.&lt;/author&gt;&lt;author&gt;van der Wiel, Cornelia W.&lt;/author&gt;&lt;author&gt;Nikolaou, Georgios&lt;/author&gt;&lt;author&gt;Houwers, Dirk J.&lt;/author&gt;&lt;author&gt;Gröne, Andrea&lt;/author&gt;&lt;/authors&gt;&lt;/contributors&gt;&lt;titles&gt;&lt;title&gt;A multiplex PCR for toxin typing of Clostridium perfringens isolates&lt;/title&gt;&lt;secondary-title&gt;Veterinary Microbiology&lt;/secondary-title&gt;&lt;/titles&gt;&lt;periodical&gt;&lt;full-title&gt;Veterinary Microbiology&lt;/full-title&gt;&lt;/periodical&gt;&lt;pages&gt;411-412&lt;/pages&gt;&lt;volume&gt;136&lt;/volume&gt;&lt;number&gt;3&lt;/number&gt;&lt;keywords&gt;&lt;keyword&gt;Multiplex PCR&lt;/keyword&gt;&lt;keyword&gt;Toxin type&lt;/keyword&gt;&lt;keyword&gt;Beta2 toxin&lt;/keyword&gt;&lt;/keywords&gt;&lt;dates&gt;&lt;year&gt;2009&lt;/year&gt;&lt;pub-dates&gt;&lt;date&gt;2009/05/12/&lt;/date&gt;&lt;/pub-dates&gt;&lt;/dates&gt;&lt;isbn&gt;0378-1135&lt;/isbn&gt;&lt;urls&gt;&lt;related-urls&gt;&lt;url&gt;http://www.sciencedirect.com/science/article/pii/S037811350800552X&lt;/url&gt;&lt;/related-urls&gt;&lt;/urls&gt;&lt;electronic-resource-num&gt;https://doi.org/10.1016/j.vetmic.2008.11.024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noProof/>
        </w:rPr>
        <w:t>[1]</w: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bCs/>
          <w:i/>
          <w:iCs/>
        </w:rPr>
        <w:t>.</w:t>
      </w:r>
    </w:p>
    <w:p w14:paraId="129D0344" w14:textId="77777777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</w:rPr>
      </w:pPr>
    </w:p>
    <w:p w14:paraId="2C9300F3" w14:textId="77777777" w:rsidR="00E36C7C" w:rsidRPr="001C4E46" w:rsidRDefault="00E36C7C" w:rsidP="00E36C7C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  <w:t>Duplex PCR</w:t>
      </w:r>
    </w:p>
    <w:p w14:paraId="1E983B6D" w14:textId="3696EC5B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A duplex PCR was carried out to screen for BEC genes </w:t>
      </w:r>
      <w:bookmarkStart w:id="1" w:name="_Hlk525740075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becA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</w:rPr>
        <w:t xml:space="preserve">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becB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bookmarkEnd w:id="1"/>
      <w:r w:rsidRPr="001C4E46">
        <w:rPr>
          <w:rStyle w:val="None"/>
          <w:rFonts w:ascii="Times New Roman" w:eastAsia="Calibri" w:hAnsi="Times New Roman" w:cs="Times New Roman"/>
        </w:rPr>
        <w:t xml:space="preserve">as in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Yonogi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/>
        </w:rPr>
        <w:t>et al</w:t>
      </w:r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 </w:instrText>
      </w:r>
      <w:r w:rsidR="00C12104" w:rsidRPr="001C4E46">
        <w:rPr>
          <w:rStyle w:val="None"/>
          <w:rFonts w:ascii="Times New Roman" w:eastAsia="Calibri" w:hAnsi="Times New Roman" w:cs="Times New Roman"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EN.CITE.DATA </w:instrText>
      </w:r>
      <w:r w:rsidR="00C12104" w:rsidRPr="001C4E46">
        <w:rPr>
          <w:rStyle w:val="None"/>
          <w:rFonts w:ascii="Times New Roman" w:eastAsia="Calibri" w:hAnsi="Times New Roman" w:cs="Times New Roman"/>
        </w:rPr>
      </w:r>
      <w:r w:rsidR="00C12104"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</w:r>
      <w:r w:rsidRPr="001C4E46">
        <w:rPr>
          <w:rStyle w:val="None"/>
          <w:rFonts w:ascii="Times New Roman" w:eastAsia="Calibri" w:hAnsi="Times New Roman" w:cs="Times New Roman"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noProof/>
        </w:rPr>
        <w:t>[2]</w:t>
      </w:r>
      <w:r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  <w:t xml:space="preserve">. Each 25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reaction contained 1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DNA template, 0.5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of each primer (Table 3), 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5x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Taq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Master </w:t>
      </w:r>
      <w:r w:rsidRPr="001C4E46">
        <w:rPr>
          <w:rStyle w:val="None"/>
          <w:rFonts w:ascii="Times New Roman" w:eastAsia="Calibri" w:hAnsi="Times New Roman" w:cs="Times New Roman"/>
        </w:rPr>
        <w:lastRenderedPageBreak/>
        <w:t xml:space="preserve">Mix (New England Biolabs) and 17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consisted of initial denaturation at 94 °C for 3 minutes followed by 34 cycles of denaturation at 94 °C for 30 seconds, annealing at 53 °C for 30 seconds, extension at 68 °C for 1 minute, followed by final extension at 68 °C for 5 minutes. </w:t>
      </w:r>
    </w:p>
    <w:p w14:paraId="512C9392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</w:rPr>
      </w:pPr>
    </w:p>
    <w:p w14:paraId="3626331D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  <w:b/>
        </w:rPr>
        <w:t>Table 3. BEC gene duplex p</w:t>
      </w:r>
      <w:r w:rsidRPr="001C4E46">
        <w:rPr>
          <w:rStyle w:val="None"/>
          <w:rFonts w:ascii="Times New Roman" w:eastAsia="Calibri" w:hAnsi="Times New Roman" w:cs="Times New Roman"/>
          <w:b/>
          <w:bCs/>
          <w:iCs/>
        </w:rPr>
        <w:t>rimers.</w:t>
      </w:r>
    </w:p>
    <w:tbl>
      <w:tblPr>
        <w:tblStyle w:val="TableGrid"/>
        <w:tblW w:w="7813" w:type="dxa"/>
        <w:jc w:val="center"/>
        <w:tblLayout w:type="fixed"/>
        <w:tblLook w:val="04A0" w:firstRow="1" w:lastRow="0" w:firstColumn="1" w:lastColumn="0" w:noHBand="0" w:noVBand="1"/>
      </w:tblPr>
      <w:tblGrid>
        <w:gridCol w:w="1972"/>
        <w:gridCol w:w="846"/>
        <w:gridCol w:w="3779"/>
        <w:gridCol w:w="1216"/>
      </w:tblGrid>
      <w:tr w:rsidR="00E36C7C" w:rsidRPr="001C4E46" w14:paraId="219F14AE" w14:textId="77777777" w:rsidTr="00DA7664">
        <w:trPr>
          <w:trHeight w:val="733"/>
          <w:jc w:val="center"/>
        </w:trPr>
        <w:tc>
          <w:tcPr>
            <w:tcW w:w="1972" w:type="dxa"/>
            <w:vAlign w:val="center"/>
          </w:tcPr>
          <w:p w14:paraId="7283A8AA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Primer</w:t>
            </w:r>
          </w:p>
        </w:tc>
        <w:tc>
          <w:tcPr>
            <w:tcW w:w="846" w:type="dxa"/>
            <w:vAlign w:val="center"/>
          </w:tcPr>
          <w:p w14:paraId="3FEA666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Gene</w:t>
            </w:r>
          </w:p>
        </w:tc>
        <w:tc>
          <w:tcPr>
            <w:tcW w:w="3779" w:type="dxa"/>
            <w:vAlign w:val="center"/>
          </w:tcPr>
          <w:p w14:paraId="1E66BBB5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Sequence (5’-3’)</w:t>
            </w:r>
          </w:p>
        </w:tc>
        <w:tc>
          <w:tcPr>
            <w:tcW w:w="1216" w:type="dxa"/>
            <w:vAlign w:val="center"/>
          </w:tcPr>
          <w:p w14:paraId="663BDD20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Product length (bp)</w:t>
            </w:r>
          </w:p>
        </w:tc>
      </w:tr>
      <w:tr w:rsidR="00E36C7C" w:rsidRPr="001C4E46" w14:paraId="2A82B138" w14:textId="77777777" w:rsidTr="00DA7664">
        <w:trPr>
          <w:trHeight w:val="288"/>
          <w:jc w:val="center"/>
        </w:trPr>
        <w:tc>
          <w:tcPr>
            <w:tcW w:w="1972" w:type="dxa"/>
            <w:vAlign w:val="center"/>
          </w:tcPr>
          <w:p w14:paraId="6EE91AF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F</w:t>
            </w:r>
          </w:p>
        </w:tc>
        <w:tc>
          <w:tcPr>
            <w:tcW w:w="846" w:type="dxa"/>
            <w:vMerge w:val="restart"/>
            <w:vAlign w:val="center"/>
          </w:tcPr>
          <w:p w14:paraId="7FBB978B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becA</w:t>
            </w:r>
            <w:proofErr w:type="spellEnd"/>
          </w:p>
        </w:tc>
        <w:tc>
          <w:tcPr>
            <w:tcW w:w="3779" w:type="dxa"/>
            <w:vAlign w:val="center"/>
          </w:tcPr>
          <w:p w14:paraId="5AB1A36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caatggggcgaagaaaatta</w:t>
            </w:r>
          </w:p>
        </w:tc>
        <w:tc>
          <w:tcPr>
            <w:tcW w:w="1216" w:type="dxa"/>
            <w:vMerge w:val="restart"/>
            <w:vAlign w:val="center"/>
          </w:tcPr>
          <w:p w14:paraId="6BD6CCFB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324</w:t>
            </w:r>
          </w:p>
        </w:tc>
      </w:tr>
      <w:tr w:rsidR="00E36C7C" w:rsidRPr="001C4E46" w14:paraId="73144F5F" w14:textId="77777777" w:rsidTr="00DA7664">
        <w:trPr>
          <w:trHeight w:val="285"/>
          <w:jc w:val="center"/>
        </w:trPr>
        <w:tc>
          <w:tcPr>
            <w:tcW w:w="1972" w:type="dxa"/>
            <w:vAlign w:val="center"/>
          </w:tcPr>
          <w:p w14:paraId="72D58AE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R</w:t>
            </w:r>
          </w:p>
        </w:tc>
        <w:tc>
          <w:tcPr>
            <w:tcW w:w="846" w:type="dxa"/>
            <w:vMerge/>
            <w:vAlign w:val="center"/>
          </w:tcPr>
          <w:p w14:paraId="053DDC44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9" w:type="dxa"/>
            <w:vAlign w:val="center"/>
          </w:tcPr>
          <w:p w14:paraId="3137E05D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aaccatgatcaattaaaacctca</w:t>
            </w:r>
          </w:p>
        </w:tc>
        <w:tc>
          <w:tcPr>
            <w:tcW w:w="1216" w:type="dxa"/>
            <w:vMerge/>
            <w:vAlign w:val="center"/>
          </w:tcPr>
          <w:p w14:paraId="47A72A73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5542C476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D35E84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F</w:t>
            </w:r>
          </w:p>
        </w:tc>
        <w:tc>
          <w:tcPr>
            <w:tcW w:w="846" w:type="dxa"/>
            <w:vMerge w:val="restart"/>
            <w:vAlign w:val="center"/>
          </w:tcPr>
          <w:p w14:paraId="481D7DF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becB</w:t>
            </w:r>
            <w:proofErr w:type="spellEnd"/>
          </w:p>
        </w:tc>
        <w:tc>
          <w:tcPr>
            <w:tcW w:w="3779" w:type="dxa"/>
            <w:vAlign w:val="center"/>
          </w:tcPr>
          <w:p w14:paraId="2E75EB7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tgcaaatgacccttacactga</w:t>
            </w:r>
          </w:p>
        </w:tc>
        <w:tc>
          <w:tcPr>
            <w:tcW w:w="1216" w:type="dxa"/>
            <w:vMerge w:val="restart"/>
            <w:vAlign w:val="center"/>
          </w:tcPr>
          <w:p w14:paraId="7CD6BDF8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195</w:t>
            </w:r>
          </w:p>
        </w:tc>
      </w:tr>
      <w:tr w:rsidR="00E36C7C" w:rsidRPr="001C4E46" w14:paraId="50995A21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D77B5F6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R</w:t>
            </w:r>
          </w:p>
        </w:tc>
        <w:tc>
          <w:tcPr>
            <w:tcW w:w="846" w:type="dxa"/>
            <w:vMerge/>
            <w:vAlign w:val="center"/>
          </w:tcPr>
          <w:p w14:paraId="748C8910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9" w:type="dxa"/>
            <w:vAlign w:val="center"/>
          </w:tcPr>
          <w:p w14:paraId="4E731D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agattggagcagagccagaa</w:t>
            </w:r>
          </w:p>
        </w:tc>
        <w:tc>
          <w:tcPr>
            <w:tcW w:w="1216" w:type="dxa"/>
            <w:vMerge/>
            <w:vAlign w:val="center"/>
          </w:tcPr>
          <w:p w14:paraId="314C20F6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62378E2" w14:textId="77777777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bCs/>
          <w:iCs/>
        </w:rPr>
      </w:pPr>
    </w:p>
    <w:p w14:paraId="39E14839" w14:textId="64C73904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  <w:bCs/>
          <w:iCs/>
        </w:rPr>
        <w:t xml:space="preserve">Primer pairs used in the duplex PCR to target </w:t>
      </w:r>
      <w:proofErr w:type="spellStart"/>
      <w:r w:rsidRPr="001C4E46">
        <w:rPr>
          <w:rStyle w:val="None"/>
          <w:rFonts w:ascii="Times New Roman" w:eastAsia="Calibri" w:hAnsi="Times New Roman" w:cs="Times New Roman"/>
          <w:bCs/>
          <w:iCs/>
        </w:rPr>
        <w:t>becA</w:t>
      </w:r>
      <w:proofErr w:type="spellEnd"/>
      <w:r w:rsidRPr="001C4E46">
        <w:rPr>
          <w:rStyle w:val="None"/>
          <w:rFonts w:ascii="Times New Roman" w:eastAsia="Calibri" w:hAnsi="Times New Roman" w:cs="Times New Roman"/>
          <w:bCs/>
          <w:iCs/>
        </w:rPr>
        <w:t xml:space="preserve">/B toxin genes, the oligonucleotide sequence of the primers, and expected product size </w:t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instrText xml:space="preserve"> ADDIN EN.CITE </w:instrText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instrText xml:space="preserve"> ADDIN EN.CITE.DATA </w:instrText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  <w:noProof/>
        </w:rPr>
        <w:t>[2]</w:t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end"/>
      </w:r>
    </w:p>
    <w:p w14:paraId="129C8F8C" w14:textId="77777777" w:rsidR="00E36C7C" w:rsidRPr="001C4E46" w:rsidRDefault="00E36C7C" w:rsidP="00E36C7C">
      <w:pPr>
        <w:pStyle w:val="BodyA"/>
        <w:widowControl w:val="0"/>
        <w:spacing w:after="200" w:line="480" w:lineRule="auto"/>
        <w:ind w:left="108" w:hanging="108"/>
        <w:rPr>
          <w:rStyle w:val="None"/>
          <w:rFonts w:ascii="Times New Roman" w:eastAsia="Calibri" w:hAnsi="Times New Roman" w:cs="Times New Roman"/>
        </w:rPr>
      </w:pPr>
    </w:p>
    <w:p w14:paraId="1B3BA35C" w14:textId="77777777" w:rsidR="00E36C7C" w:rsidRPr="001C4E46" w:rsidRDefault="00E36C7C" w:rsidP="00E36C7C">
      <w:pPr>
        <w:pStyle w:val="Heading"/>
        <w:spacing w:after="200" w:line="480" w:lineRule="auto"/>
        <w:rPr>
          <w:rStyle w:val="None"/>
          <w:rFonts w:eastAsia="Calibri" w:cs="Times New Roman"/>
          <w:sz w:val="28"/>
          <w:szCs w:val="22"/>
        </w:rPr>
      </w:pPr>
      <w:r w:rsidRPr="001C4E46">
        <w:rPr>
          <w:rStyle w:val="None"/>
          <w:rFonts w:eastAsia="Calibri" w:cs="Times New Roman"/>
          <w:sz w:val="28"/>
          <w:szCs w:val="22"/>
        </w:rPr>
        <w:t xml:space="preserve">Single PCR </w:t>
      </w:r>
    </w:p>
    <w:p w14:paraId="59F6CE6C" w14:textId="77777777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  <w:shd w:val="clear" w:color="auto" w:fill="FFFFFF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Single PCRs were carried out for </w:t>
      </w:r>
      <w:bookmarkStart w:id="2" w:name="_Hlk525740090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bookmarkEnd w:id="2"/>
      <w:r w:rsidRPr="001C4E46">
        <w:rPr>
          <w:rStyle w:val="None"/>
          <w:rFonts w:ascii="Times New Roman" w:eastAsia="Calibri" w:hAnsi="Times New Roman" w:cs="Times New Roman"/>
        </w:rPr>
        <w:t xml:space="preserve">genes using the primers shown in table 4. The following PCR reaction mix was used: 0.5 µl of each primer (Table 4), </w:t>
      </w:r>
      <w:r w:rsidRPr="001C4E46">
        <w:rPr>
          <w:rStyle w:val="None"/>
          <w:rFonts w:ascii="Times New Roman" w:eastAsia="Calibri" w:hAnsi="Times New Roman" w:cs="Times New Roman"/>
          <w:lang w:val="en-GB"/>
        </w:rPr>
        <w:t xml:space="preserve">5 </w:t>
      </w:r>
      <w:r w:rsidRPr="001C4E46">
        <w:rPr>
          <w:rStyle w:val="None"/>
          <w:rFonts w:ascii="Times New Roman" w:eastAsia="Calibri" w:hAnsi="Times New Roman" w:cs="Times New Roman"/>
        </w:rPr>
        <w:t>µl</w:t>
      </w:r>
      <w:r w:rsidRPr="001C4E46">
        <w:rPr>
          <w:rStyle w:val="None"/>
          <w:rFonts w:ascii="Times New Roman" w:eastAsia="Calibri" w:hAnsi="Times New Roman" w:cs="Times New Roman"/>
          <w:lang w:val="fr-FR"/>
        </w:rPr>
        <w:t xml:space="preserve"> 5x </w:t>
      </w:r>
      <w:r w:rsidRPr="001C4E46">
        <w:rPr>
          <w:rStyle w:val="None"/>
          <w:rFonts w:ascii="Times New Roman" w:eastAsia="Calibri" w:hAnsi="Times New Roman" w:cs="Times New Roman"/>
          <w:lang w:val="it-IT"/>
        </w:rPr>
        <w:t xml:space="preserve">Taq </w:t>
      </w:r>
      <w:r w:rsidRPr="001C4E46">
        <w:rPr>
          <w:rStyle w:val="None"/>
          <w:rFonts w:ascii="Times New Roman" w:eastAsia="Calibri" w:hAnsi="Times New Roman" w:cs="Times New Roman"/>
        </w:rPr>
        <w:t xml:space="preserve">Master Mix (New England Biolabs, UK), 1 µl template DNA and 18 µl of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settings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 consisted of initial denaturation at 94 °C for 3 minutes followed by 34 cycles of denaturation at 94 °C for 30 seconds, annealing at 55 °C for 30 seconds, extension at 68 °C for 1 minute, followed by final extension at 68 °C for 5 minutes. Thermal cycling settings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  <w:shd w:val="clear" w:color="auto" w:fill="FFFFFF"/>
        </w:rPr>
        <w:t>and</w:t>
      </w:r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consisted of initial denaturation at 94 °C for 2 minutes followed by 34 cycles of denaturation at 94 °C for 30 seconds, annealing at 55 °C for 1 minute, extension at 68 °C for 1 minute, followed by final extension at 68 °C for 8 minutes. </w:t>
      </w:r>
    </w:p>
    <w:p w14:paraId="6C59E271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  <w:b/>
        </w:rPr>
      </w:pPr>
      <w:r w:rsidRPr="001C4E46">
        <w:rPr>
          <w:rStyle w:val="None"/>
          <w:rFonts w:ascii="Times New Roman" w:eastAsia="Calibri" w:hAnsi="Times New Roman" w:cs="Times New Roman"/>
          <w:b/>
          <w:shd w:val="clear" w:color="auto" w:fill="FFFFFF"/>
        </w:rPr>
        <w:t>Table 4. Single PCR p</w:t>
      </w:r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rimers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. </w:t>
      </w:r>
    </w:p>
    <w:tbl>
      <w:tblPr>
        <w:tblStyle w:val="TableGrid"/>
        <w:tblW w:w="7806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850"/>
        <w:gridCol w:w="3773"/>
        <w:gridCol w:w="1210"/>
      </w:tblGrid>
      <w:tr w:rsidR="00E36C7C" w:rsidRPr="001C4E46" w14:paraId="5B974067" w14:textId="77777777" w:rsidTr="00DA7664">
        <w:trPr>
          <w:trHeight w:val="733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4F5107C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lastRenderedPageBreak/>
              <w:t>Primer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A356F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Gene</w:t>
            </w:r>
          </w:p>
        </w:tc>
        <w:tc>
          <w:tcPr>
            <w:tcW w:w="3773" w:type="dxa"/>
            <w:shd w:val="clear" w:color="auto" w:fill="auto"/>
            <w:vAlign w:val="center"/>
          </w:tcPr>
          <w:p w14:paraId="7F4B67F6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Sequence (5’-3’)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AE057DC" w14:textId="77777777" w:rsidR="00E36C7C" w:rsidRPr="001C4E46" w:rsidRDefault="00E36C7C" w:rsidP="00DA7664">
            <w:pPr>
              <w:pStyle w:val="TableStyle1A"/>
              <w:jc w:val="center"/>
              <w:rPr>
                <w:rStyle w:val="None"/>
                <w:rFonts w:eastAsia="Calibri" w:cs="Times New Roman"/>
                <w:b w:val="0"/>
                <w:bCs w:val="0"/>
                <w:szCs w:val="22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Product length (bp)</w:t>
            </w:r>
          </w:p>
        </w:tc>
      </w:tr>
      <w:tr w:rsidR="00E36C7C" w:rsidRPr="001C4E46" w14:paraId="5F7A20EB" w14:textId="77777777" w:rsidTr="00DA7664">
        <w:trPr>
          <w:trHeight w:val="288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548E931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netB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CAD09B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netB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155A3B6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CGCTTCACATAAAGGTTGGAAGGC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41A48474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316</w:t>
            </w:r>
          </w:p>
        </w:tc>
      </w:tr>
      <w:tr w:rsidR="00E36C7C" w:rsidRPr="001C4E46" w14:paraId="7C062C2E" w14:textId="77777777" w:rsidTr="00DA7664">
        <w:trPr>
          <w:trHeight w:val="285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6B4DBBD9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netB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02C63ED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62024AB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TCCAGCACCAGCAGTTTTTCCT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0CFA5E73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  <w:tr w:rsidR="00E36C7C" w:rsidRPr="001C4E46" w14:paraId="2403578E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13D9C8B7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pfoA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24F5CC7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pfoA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04B14BE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CAAGTATTGCAATGGCTTTATGTCTG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20BA3EAE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866</w:t>
            </w:r>
          </w:p>
        </w:tc>
      </w:tr>
      <w:tr w:rsidR="00E36C7C" w:rsidRPr="001C4E46" w14:paraId="72471960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2F429AD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pfoA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93BAD36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7170A87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CTTTATAAGAGCTTTGAAAGCAGCTTG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09FAB6E5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  <w:tr w:rsidR="00E36C7C" w:rsidRPr="001C4E46" w14:paraId="56F6D952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2CA55BD5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colA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5EC0B9D7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colA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22A6678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ATTAGAAAGTTTATGTACAATAGGTG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64DEEB54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816</w:t>
            </w:r>
          </w:p>
        </w:tc>
      </w:tr>
      <w:tr w:rsidR="00E36C7C" w:rsidRPr="001C4E46" w14:paraId="481B82CF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56FBF687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colA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B2D8DC9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3DA50B5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AAGACATTCTATTATTTCTATCGTAAGC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7FB11910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</w:tbl>
    <w:p w14:paraId="62760CC0" w14:textId="77777777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iCs/>
          <w:sz w:val="20"/>
        </w:rPr>
      </w:pPr>
    </w:p>
    <w:p w14:paraId="2AC07E0D" w14:textId="518ED483" w:rsidR="001019CC" w:rsidRDefault="00E36C7C" w:rsidP="001019CC">
      <w:pPr>
        <w:pStyle w:val="BodyA"/>
        <w:widowControl w:val="0"/>
        <w:spacing w:after="200" w:line="480" w:lineRule="auto"/>
        <w:rPr>
          <w:rStyle w:val="None"/>
          <w:rFonts w:ascii="Times New Roman" w:eastAsia="Calibri" w:hAnsi="Times New Roman" w:cs="Times New Roman"/>
          <w:iCs/>
        </w:rPr>
      </w:pPr>
      <w:r w:rsidRPr="001C4E46">
        <w:rPr>
          <w:rStyle w:val="None"/>
          <w:rFonts w:ascii="Times New Roman" w:eastAsia="Calibri" w:hAnsi="Times New Roman" w:cs="Times New Roman"/>
          <w:iCs/>
        </w:rPr>
        <w:t xml:space="preserve">Primer pairs used in individual PCRs to target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&lt;EndNote&gt;&lt;Cite&gt;&lt;Author&gt;Keyburn&lt;/Author&gt;&lt;Year&gt;2008&lt;/Year&gt;&lt;RecNum&gt;1077&lt;/RecNum&gt;&lt;DisplayText&gt;[3]&lt;/DisplayText&gt;&lt;record&gt;&lt;rec-number&gt;1077&lt;/rec-number&gt;&lt;foreign-keys&gt;&lt;key app="EN" db-id="0e5tztt9haatrser09pvxtrd25xapavpatt0"&gt;1077&lt;/key&gt;&lt;/foreign-keys&gt;&lt;ref-type name="Journal Article"&gt;17&lt;/ref-type&gt;&lt;contributors&gt;&lt;authors&gt;&lt;author&gt;Keyburn, Anthony L.&lt;/author&gt;&lt;author&gt;Boyce, John D.&lt;/author&gt;&lt;author&gt;Vaz, Paola&lt;/author&gt;&lt;author&gt;Bannam, Trudi L.&lt;/author&gt;&lt;author&gt;Ford, Mark E.&lt;/author&gt;&lt;author&gt;Parker, Dane&lt;/author&gt;&lt;author&gt;Di Rubbo, Antonio&lt;/author&gt;&lt;author&gt;Rood, Julian I.&lt;/author&gt;&lt;author&gt;Moore, Robert J.&lt;/author&gt;&lt;/authors&gt;&lt;/contributors&gt;&lt;titles&gt;&lt;title&gt;NetB, a New Toxin That Is Associated with Avian Necrotic Enteritis Caused by Clostridium perfringens&lt;/title&gt;&lt;secondary-title&gt;PLoS Pathogens&lt;/secondary-title&gt;&lt;/titles&gt;&lt;periodical&gt;&lt;full-title&gt;PLoS Pathogens&lt;/full-title&gt;&lt;/periodical&gt;&lt;pages&gt;e26&lt;/pages&gt;&lt;volume&gt;4&lt;/volume&gt;&lt;number&gt;2&lt;/number&gt;&lt;dates&gt;&lt;year&gt;2008&lt;/year&gt;&lt;pub-dates&gt;&lt;date&gt;02/08&amp;#xD;09/18/received&amp;#xD;12/22/accepted&lt;/date&gt;&lt;/pub-dates&gt;&lt;/dates&gt;&lt;pub-location&gt;San Francisco, USA&lt;/pub-location&gt;&lt;publisher&gt;Public Library of Science&lt;/publisher&gt;&lt;isbn&gt;1553-7366&amp;#xD;1553-7374&lt;/isbn&gt;&lt;accession-num&gt;PMC2233674&lt;/accession-num&gt;&lt;urls&gt;&lt;related-urls&gt;&lt;url&gt;http://www.ncbi.nlm.nih.gov/pmc/articles/PMC2233674/&lt;/url&gt;&lt;/related-urls&gt;&lt;/urls&gt;&lt;electronic-resource-num&gt;10.1371/journal.ppat.0040026&lt;/electronic-resource-num&gt;&lt;remote-database-name&gt;PMC&lt;/remote-database-name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[3]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&lt;EndNote&gt;&lt;Cite&gt;&lt;Author&gt;Deguchi&lt;/Author&gt;&lt;Year&gt;2009&lt;/Year&gt;&lt;RecNum&gt;1089&lt;/RecNum&gt;&lt;DisplayText&gt;[4]&lt;/DisplayText&gt;&lt;record&gt;&lt;rec-number&gt;1089&lt;/rec-number&gt;&lt;foreign-keys&gt;&lt;key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[4]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&lt;EndNote&gt;&lt;Cite&gt;&lt;Author&gt;Deguchi&lt;/Author&gt;&lt;Year&gt;2009&lt;/Year&gt;&lt;RecNum&gt;1089&lt;/RecNum&gt;&lt;DisplayText&gt;[4]&lt;/DisplayText&gt;&lt;record&gt;&lt;rec-number&gt;1089&lt;/rec-number&gt;&lt;foreign-keys&gt;&lt;key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[4]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 toxin genes, the oligonucleotide sequence of the primers, and expected product size.</w:t>
      </w:r>
    </w:p>
    <w:p w14:paraId="6F7B75C3" w14:textId="77777777" w:rsidR="001019CC" w:rsidRPr="001019CC" w:rsidRDefault="001019CC" w:rsidP="001019CC">
      <w:pPr>
        <w:pStyle w:val="BodyA"/>
        <w:widowControl w:val="0"/>
        <w:spacing w:after="200" w:line="480" w:lineRule="auto"/>
        <w:rPr>
          <w:rStyle w:val="None"/>
          <w:rFonts w:ascii="Times New Roman" w:eastAsia="Calibri" w:hAnsi="Times New Roman" w:cs="Times New Roman"/>
          <w:iCs/>
        </w:rPr>
      </w:pPr>
    </w:p>
    <w:p w14:paraId="7D9F8CBF" w14:textId="1B446AC3" w:rsidR="001019CC" w:rsidRPr="001C4E46" w:rsidRDefault="001019CC" w:rsidP="001019C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  <w:b/>
          <w:bCs/>
          <w:sz w:val="28"/>
        </w:rPr>
      </w:pPr>
      <w:r>
        <w:rPr>
          <w:rStyle w:val="None"/>
          <w:rFonts w:ascii="Times New Roman" w:eastAsia="Calibri" w:hAnsi="Times New Roman" w:cs="Times New Roman"/>
          <w:b/>
          <w:bCs/>
          <w:sz w:val="28"/>
        </w:rPr>
        <w:t>PCR Controls</w:t>
      </w:r>
    </w:p>
    <w:p w14:paraId="0F4050D4" w14:textId="60929752" w:rsidR="005C5E99" w:rsidRPr="001019CC" w:rsidRDefault="001019CC" w:rsidP="001019CC">
      <w:pPr>
        <w:spacing w:before="100" w:beforeAutospacing="1" w:after="100" w:afterAutospacing="1" w:line="480" w:lineRule="auto"/>
        <w:rPr>
          <w:rStyle w:val="None"/>
          <w:rFonts w:eastAsiaTheme="minorHAnsi"/>
          <w:sz w:val="22"/>
          <w:szCs w:val="22"/>
          <w:bdr w:val="none" w:sz="0" w:space="0" w:color="auto"/>
          <w:lang w:val="en-GB"/>
        </w:rPr>
      </w:pPr>
      <w:r>
        <w:rPr>
          <w:rStyle w:val="None"/>
          <w:rFonts w:eastAsia="Calibri"/>
          <w:iCs/>
        </w:rPr>
        <w:t xml:space="preserve">Positive and negative PCR controls were run using typed strains with known presence of toxin genes. </w:t>
      </w:r>
      <w:r>
        <w:t xml:space="preserve">For the </w:t>
      </w:r>
      <w:proofErr w:type="spellStart"/>
      <w:r w:rsidRPr="001019CC">
        <w:rPr>
          <w:i/>
        </w:rPr>
        <w:t>cpa</w:t>
      </w:r>
      <w:proofErr w:type="spellEnd"/>
      <w:r>
        <w:t xml:space="preserve">, </w:t>
      </w:r>
      <w:proofErr w:type="spellStart"/>
      <w:r w:rsidRPr="001019CC">
        <w:rPr>
          <w:i/>
        </w:rPr>
        <w:t>pfoA</w:t>
      </w:r>
      <w:proofErr w:type="spellEnd"/>
      <w:r>
        <w:t xml:space="preserve"> and </w:t>
      </w:r>
      <w:proofErr w:type="spellStart"/>
      <w:r w:rsidRPr="001019CC">
        <w:rPr>
          <w:i/>
        </w:rPr>
        <w:t>colA</w:t>
      </w:r>
      <w:proofErr w:type="spellEnd"/>
      <w:r>
        <w:t xml:space="preserve"> genes </w:t>
      </w:r>
      <w:r>
        <w:t xml:space="preserve">the </w:t>
      </w:r>
      <w:r>
        <w:t>ATCC 13124</w:t>
      </w:r>
      <w:r>
        <w:t xml:space="preserve"> strain was used and f</w:t>
      </w:r>
      <w:r>
        <w:t xml:space="preserve">or the </w:t>
      </w:r>
      <w:proofErr w:type="spellStart"/>
      <w:r w:rsidRPr="001019CC">
        <w:rPr>
          <w:i/>
        </w:rPr>
        <w:t>cpb</w:t>
      </w:r>
      <w:proofErr w:type="spellEnd"/>
      <w:r>
        <w:t xml:space="preserve">, </w:t>
      </w:r>
      <w:proofErr w:type="spellStart"/>
      <w:r w:rsidRPr="001019CC">
        <w:rPr>
          <w:i/>
        </w:rPr>
        <w:t>etx</w:t>
      </w:r>
      <w:proofErr w:type="spellEnd"/>
      <w:r>
        <w:t xml:space="preserve"> and </w:t>
      </w:r>
      <w:r w:rsidRPr="001019CC">
        <w:rPr>
          <w:i/>
        </w:rPr>
        <w:t>cpb2</w:t>
      </w:r>
      <w:r>
        <w:t xml:space="preserve"> genes </w:t>
      </w:r>
      <w:r>
        <w:t xml:space="preserve">the </w:t>
      </w:r>
      <w:r>
        <w:t>ATCC 3626</w:t>
      </w:r>
      <w:r>
        <w:t xml:space="preserve"> strain was used. For the other genes ATCC controls were sought but were </w:t>
      </w:r>
      <w:bookmarkStart w:id="3" w:name="_GoBack"/>
      <w:bookmarkEnd w:id="3"/>
      <w:r>
        <w:t xml:space="preserve">not available, hence strains sequenced within the lab and known to contain the appropriate toxin genes were used. </w:t>
      </w:r>
    </w:p>
    <w:p w14:paraId="3276746C" w14:textId="77777777" w:rsidR="001019CC" w:rsidRPr="001C4E46" w:rsidRDefault="001019C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iCs/>
        </w:rPr>
      </w:pPr>
    </w:p>
    <w:p w14:paraId="16461190" w14:textId="77777777" w:rsidR="005C5E99" w:rsidRPr="001C4E46" w:rsidRDefault="005C5E99" w:rsidP="005C5E99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  <w:b/>
          <w:bCs/>
          <w:sz w:val="28"/>
        </w:rPr>
      </w:pPr>
      <w:r w:rsidRPr="001C4E46">
        <w:rPr>
          <w:rStyle w:val="None"/>
          <w:rFonts w:ascii="Times New Roman" w:eastAsia="Calibri" w:hAnsi="Times New Roman" w:cs="Times New Roman"/>
          <w:b/>
          <w:bCs/>
          <w:sz w:val="28"/>
        </w:rPr>
        <w:t xml:space="preserve">Gel electrophoresis </w:t>
      </w:r>
    </w:p>
    <w:p w14:paraId="191C6CC6" w14:textId="77777777" w:rsidR="005C5E99" w:rsidRPr="001C4E46" w:rsidRDefault="005C5E99" w:rsidP="005C5E99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Multiplex PCR products were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on a 2.5% agarose gel, and all other PCR products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on 1.5% agarose gels stained with ethidium bromide, using 10 µl of reaction mix and 2 µl of 5x blue loading buffer. The loading mix was run at 125 V, 400 mA for 60 minutes alongside a 50 bp ladder and the gel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using a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Chemidoc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Gel Imager (Bio-Rad) and analyzed by Image Lab software (Bio-Rad).</w:t>
      </w:r>
    </w:p>
    <w:p w14:paraId="39E80CF6" w14:textId="5F2F3036" w:rsidR="005C5E99" w:rsidRPr="001C4E46" w:rsidRDefault="005C5E99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</w:rPr>
      </w:pPr>
    </w:p>
    <w:p w14:paraId="3968C538" w14:textId="56224AB9" w:rsidR="00C12104" w:rsidRPr="001C4E46" w:rsidRDefault="00903C98" w:rsidP="00C12104">
      <w:pPr>
        <w:pStyle w:val="BodyA"/>
        <w:widowControl w:val="0"/>
        <w:spacing w:after="200"/>
        <w:rPr>
          <w:rFonts w:ascii="Times New Roman" w:eastAsia="Calibri" w:hAnsi="Times New Roman" w:cs="Times New Roman"/>
          <w:b/>
          <w:sz w:val="24"/>
        </w:rPr>
      </w:pPr>
      <w:r w:rsidRPr="001C4E46">
        <w:rPr>
          <w:rStyle w:val="None"/>
          <w:rFonts w:ascii="Times New Roman" w:eastAsia="Calibri" w:hAnsi="Times New Roman" w:cs="Times New Roman"/>
          <w:b/>
          <w:sz w:val="24"/>
        </w:rPr>
        <w:t>References</w:t>
      </w:r>
    </w:p>
    <w:p w14:paraId="0727DEAF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lastRenderedPageBreak/>
        <w:fldChar w:fldCharType="begin"/>
      </w:r>
      <w:r w:rsidRPr="001C4E46">
        <w:instrText xml:space="preserve"> ADDIN EN.REFLIST </w:instrText>
      </w:r>
      <w:r w:rsidRPr="001C4E46">
        <w:fldChar w:fldCharType="separate"/>
      </w:r>
      <w:r w:rsidRPr="001C4E46">
        <w:rPr>
          <w:noProof/>
        </w:rPr>
        <w:t>1.</w:t>
      </w:r>
      <w:r w:rsidRPr="001C4E46">
        <w:rPr>
          <w:noProof/>
        </w:rPr>
        <w:tab/>
        <w:t xml:space="preserve">van Asten AJAM, van der Wiel CW, Nikolaou G, Houwers DJ, Gröne A: </w:t>
      </w:r>
      <w:r w:rsidRPr="001C4E46">
        <w:rPr>
          <w:b/>
          <w:noProof/>
        </w:rPr>
        <w:t>A multiplex PCR for toxin typing of Clostridium perfringens isolates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Veterinary Microbiology </w:t>
      </w:r>
      <w:r w:rsidRPr="001C4E46">
        <w:rPr>
          <w:noProof/>
        </w:rPr>
        <w:t xml:space="preserve">2009, </w:t>
      </w:r>
      <w:r w:rsidRPr="001C4E46">
        <w:rPr>
          <w:b/>
          <w:noProof/>
        </w:rPr>
        <w:t>136</w:t>
      </w:r>
      <w:r w:rsidRPr="001C4E46">
        <w:rPr>
          <w:noProof/>
        </w:rPr>
        <w:t>(3):411-412.</w:t>
      </w:r>
    </w:p>
    <w:p w14:paraId="65161C47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rPr>
          <w:noProof/>
        </w:rPr>
        <w:t>2.</w:t>
      </w:r>
      <w:r w:rsidRPr="001C4E46">
        <w:rPr>
          <w:noProof/>
        </w:rPr>
        <w:tab/>
        <w:t>Yonogi S, Matsuda S, Kawai T, Yoda T, Harada T, Kumeda Y, Gotoh K, Hiyoshi H, Nakamura S, Kodama T</w:t>
      </w:r>
      <w:r w:rsidRPr="001C4E46">
        <w:rPr>
          <w:i/>
          <w:noProof/>
        </w:rPr>
        <w:t xml:space="preserve"> et al</w:t>
      </w:r>
      <w:r w:rsidRPr="001C4E46">
        <w:rPr>
          <w:noProof/>
        </w:rPr>
        <w:t xml:space="preserve">: </w:t>
      </w:r>
      <w:r w:rsidRPr="001C4E46">
        <w:rPr>
          <w:b/>
          <w:noProof/>
        </w:rPr>
        <w:t>BEC, a novel enterotoxin of Clostridium perfringens found in human clinical isolates from acute gastroenteritis outbreaks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Infection and immunity </w:t>
      </w:r>
      <w:r w:rsidRPr="001C4E46">
        <w:rPr>
          <w:noProof/>
        </w:rPr>
        <w:t xml:space="preserve">2014, </w:t>
      </w:r>
      <w:r w:rsidRPr="001C4E46">
        <w:rPr>
          <w:b/>
          <w:noProof/>
        </w:rPr>
        <w:t>82</w:t>
      </w:r>
      <w:r w:rsidRPr="001C4E46">
        <w:rPr>
          <w:noProof/>
        </w:rPr>
        <w:t>(6):2390-2399.</w:t>
      </w:r>
    </w:p>
    <w:p w14:paraId="7C9C23D3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rPr>
          <w:noProof/>
        </w:rPr>
        <w:t>3.</w:t>
      </w:r>
      <w:r w:rsidRPr="001C4E46">
        <w:rPr>
          <w:noProof/>
        </w:rPr>
        <w:tab/>
        <w:t xml:space="preserve">Keyburn AL, Boyce JD, Vaz P, Bannam TL, Ford ME, Parker D, Di Rubbo A, Rood JI, Moore RJ: </w:t>
      </w:r>
      <w:r w:rsidRPr="001C4E46">
        <w:rPr>
          <w:b/>
          <w:noProof/>
        </w:rPr>
        <w:t>NetB, a New Toxin That Is Associated with Avian Necrotic Enteritis Caused by Clostridium perfringens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PLoS Pathogens </w:t>
      </w:r>
      <w:r w:rsidRPr="001C4E46">
        <w:rPr>
          <w:noProof/>
        </w:rPr>
        <w:t xml:space="preserve">2008, </w:t>
      </w:r>
      <w:r w:rsidRPr="001C4E46">
        <w:rPr>
          <w:b/>
          <w:noProof/>
        </w:rPr>
        <w:t>4</w:t>
      </w:r>
      <w:r w:rsidRPr="001C4E46">
        <w:rPr>
          <w:noProof/>
        </w:rPr>
        <w:t>(2):e26.</w:t>
      </w:r>
    </w:p>
    <w:p w14:paraId="60B0F783" w14:textId="77777777" w:rsidR="00C12104" w:rsidRPr="001C4E46" w:rsidRDefault="00C12104" w:rsidP="00C12104">
      <w:pPr>
        <w:pStyle w:val="EndNoteBibliography"/>
        <w:ind w:left="720" w:hanging="720"/>
        <w:rPr>
          <w:noProof/>
        </w:rPr>
      </w:pPr>
      <w:r w:rsidRPr="001C4E46">
        <w:rPr>
          <w:noProof/>
        </w:rPr>
        <w:t>4.</w:t>
      </w:r>
      <w:r w:rsidRPr="001C4E46">
        <w:rPr>
          <w:noProof/>
        </w:rPr>
        <w:tab/>
        <w:t xml:space="preserve">Deguchi A, Miyamoto K, Kuwahara T, Miki Y, Kaneko I, Li J, McClane BA, Akimoto S: </w:t>
      </w:r>
      <w:r w:rsidRPr="001C4E46">
        <w:rPr>
          <w:b/>
          <w:noProof/>
        </w:rPr>
        <w:t>Genetic Characterization of Type A Enterotoxigenic Clostridium perfringens Strains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PLOS ONE </w:t>
      </w:r>
      <w:r w:rsidRPr="001C4E46">
        <w:rPr>
          <w:noProof/>
        </w:rPr>
        <w:t xml:space="preserve">2009, </w:t>
      </w:r>
      <w:r w:rsidRPr="001C4E46">
        <w:rPr>
          <w:b/>
          <w:noProof/>
        </w:rPr>
        <w:t>4</w:t>
      </w:r>
      <w:r w:rsidRPr="001C4E46">
        <w:rPr>
          <w:noProof/>
        </w:rPr>
        <w:t>(5):e5598.</w:t>
      </w:r>
    </w:p>
    <w:p w14:paraId="3A5CFC03" w14:textId="4FEA0AE6" w:rsidR="00E26912" w:rsidRPr="001C4E46" w:rsidRDefault="00C12104">
      <w:r w:rsidRPr="001C4E46">
        <w:fldChar w:fldCharType="end"/>
      </w:r>
    </w:p>
    <w:sectPr w:rsidR="00E26912" w:rsidRPr="001C4E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Malgun Gothic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dp2xstjz2e04ers5wxfrs2frp50ewfasfx&quot;&gt;ClosPaper&lt;record-ids&gt;&lt;item&gt;15&lt;/item&gt;&lt;/record-ids&gt;&lt;/item&gt;&lt;/Libraries&gt;"/>
  </w:docVars>
  <w:rsids>
    <w:rsidRoot w:val="003C61E7"/>
    <w:rsid w:val="001019CC"/>
    <w:rsid w:val="001C4E46"/>
    <w:rsid w:val="00344BF7"/>
    <w:rsid w:val="003C61E7"/>
    <w:rsid w:val="005C5E99"/>
    <w:rsid w:val="00903C98"/>
    <w:rsid w:val="00C12104"/>
    <w:rsid w:val="00CA28AE"/>
    <w:rsid w:val="00D013F0"/>
    <w:rsid w:val="00E26912"/>
    <w:rsid w:val="00E3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F89E9"/>
  <w15:chartTrackingRefBased/>
  <w15:docId w15:val="{D076E1CD-8386-48E3-9753-4F128D048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2">
    <w:name w:val="heading 2"/>
    <w:next w:val="Normal"/>
    <w:link w:val="Heading2Char"/>
    <w:rsid w:val="00E36C7C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00" w:after="0" w:line="276" w:lineRule="auto"/>
      <w:outlineLvl w:val="1"/>
    </w:pPr>
    <w:rPr>
      <w:rFonts w:ascii="Cambria" w:eastAsia="Cambria" w:hAnsi="Cambria" w:cs="Cambria"/>
      <w:b/>
      <w:bCs/>
      <w:color w:val="4F81BD"/>
      <w:sz w:val="26"/>
      <w:szCs w:val="26"/>
      <w:u w:color="4F81BD"/>
      <w:bdr w:val="nil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36C7C"/>
    <w:rPr>
      <w:rFonts w:ascii="Cambria" w:eastAsia="Cambria" w:hAnsi="Cambria" w:cs="Cambria"/>
      <w:b/>
      <w:bCs/>
      <w:color w:val="4F81BD"/>
      <w:sz w:val="26"/>
      <w:szCs w:val="26"/>
      <w:u w:color="4F81BD"/>
      <w:bdr w:val="nil"/>
      <w:lang w:val="en-US" w:eastAsia="en-GB"/>
    </w:rPr>
  </w:style>
  <w:style w:type="character" w:customStyle="1" w:styleId="None">
    <w:name w:val="None"/>
    <w:rsid w:val="00E36C7C"/>
  </w:style>
  <w:style w:type="paragraph" w:customStyle="1" w:styleId="BodyA">
    <w:name w:val="Body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 w:eastAsia="en-GB"/>
    </w:rPr>
  </w:style>
  <w:style w:type="paragraph" w:customStyle="1" w:styleId="TableStyle1A">
    <w:name w:val="Table Style 1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b/>
      <w:bCs/>
      <w:color w:val="000000"/>
      <w:sz w:val="20"/>
      <w:szCs w:val="20"/>
      <w:u w:color="000000"/>
      <w:bdr w:val="nil"/>
      <w:lang w:val="en-US" w:eastAsia="en-GB"/>
    </w:rPr>
  </w:style>
  <w:style w:type="paragraph" w:customStyle="1" w:styleId="TableStyle2A">
    <w:name w:val="Table Style 2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u w:color="000000"/>
      <w:bdr w:val="nil"/>
      <w:lang w:val="en-US" w:eastAsia="en-GB"/>
    </w:rPr>
  </w:style>
  <w:style w:type="paragraph" w:styleId="Caption">
    <w:name w:val="caption"/>
    <w:rsid w:val="00E36C7C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Times New Roman" w:eastAsia="Arial Unicode MS" w:hAnsi="Times New Roman" w:cs="Arial Unicode MS"/>
      <w:b/>
      <w:bCs/>
      <w:caps/>
      <w:color w:val="000000"/>
      <w:sz w:val="20"/>
      <w:szCs w:val="20"/>
      <w:u w:color="000000"/>
      <w:bdr w:val="nil"/>
      <w:lang w:val="fr-FR" w:eastAsia="en-GB"/>
    </w:rPr>
  </w:style>
  <w:style w:type="paragraph" w:customStyle="1" w:styleId="Heading">
    <w:name w:val="Heading"/>
    <w:next w:val="BodyA"/>
    <w:rsid w:val="00E36C7C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outlineLvl w:val="0"/>
    </w:pPr>
    <w:rPr>
      <w:rFonts w:ascii="Times New Roman" w:eastAsia="Arial Unicode MS" w:hAnsi="Times New Roman" w:cs="Arial Unicode MS"/>
      <w:b/>
      <w:bCs/>
      <w:color w:val="000000"/>
      <w:sz w:val="36"/>
      <w:szCs w:val="36"/>
      <w:u w:color="000000"/>
      <w:bdr w:val="nil"/>
      <w:lang w:val="en-US" w:eastAsia="en-GB"/>
    </w:rPr>
  </w:style>
  <w:style w:type="table" w:styleId="TableGrid">
    <w:name w:val="Table Grid"/>
    <w:basedOn w:val="TableNormal"/>
    <w:uiPriority w:val="59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rsid w:val="00903C98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Times New Roman" w:eastAsia="Calibri" w:hAnsi="Times New Roman" w:cs="Times New Roman"/>
      <w:color w:val="000000"/>
      <w:sz w:val="24"/>
      <w:u w:color="000000"/>
      <w:bdr w:val="nil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1210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Heading2Char"/>
    <w:link w:val="EndNoteBibliographyTitle"/>
    <w:rsid w:val="00C12104"/>
    <w:rPr>
      <w:rFonts w:ascii="Times New Roman" w:eastAsia="Arial Unicode MS" w:hAnsi="Times New Roman" w:cs="Times New Roman"/>
      <w:b w:val="0"/>
      <w:bCs w:val="0"/>
      <w:noProof/>
      <w:color w:val="4F81BD"/>
      <w:sz w:val="24"/>
      <w:szCs w:val="24"/>
      <w:u w:color="4F81BD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7D2ED-5EC9-4F1A-9AB3-A778E73A4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1767</Words>
  <Characters>10077</Characters>
  <Application>Microsoft Office Word</Application>
  <DocSecurity>0</DocSecurity>
  <Lines>83</Lines>
  <Paragraphs>23</Paragraphs>
  <ScaleCrop>false</ScaleCrop>
  <Company/>
  <LinksUpToDate>false</LinksUpToDate>
  <CharactersWithSpaces>11821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G. Shaw</dc:creator>
  <cp:keywords/>
  <dc:description/>
  <cp:lastModifiedBy>Shaw, Alexander G</cp:lastModifiedBy>
  <cp:revision>10</cp:revision>
  <dcterms:created xsi:type="dcterms:W3CDTF">2018-09-26T14:44:00Z</dcterms:created>
  <dcterms:modified xsi:type="dcterms:W3CDTF">2020-01-31T16:29:00Z</dcterms:modified>
</cp:coreProperties>
</file>